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6D2" w:rsidRDefault="004952A4" w:rsidP="00220696">
      <w:pPr>
        <w:spacing w:before="61" w:after="0" w:line="240" w:lineRule="auto"/>
        <w:ind w:right="-20"/>
        <w:jc w:val="center"/>
        <w:rPr>
          <w:rFonts w:ascii="Arial" w:eastAsia="Arial" w:hAnsi="Arial" w:cs="Arial"/>
          <w:b/>
          <w:bCs/>
          <w:color w:val="231F20"/>
          <w:sz w:val="24"/>
          <w:szCs w:val="24"/>
        </w:rPr>
      </w:pPr>
      <w:r w:rsidRPr="00912398">
        <w:rPr>
          <w:rFonts w:ascii="Arial" w:eastAsia="Arial" w:hAnsi="Arial" w:cs="Arial"/>
          <w:b/>
          <w:bCs/>
          <w:color w:val="FF0000"/>
          <w:sz w:val="24"/>
          <w:szCs w:val="24"/>
          <w:u w:val="single"/>
        </w:rPr>
        <w:t>Tier II Checklist</w:t>
      </w:r>
      <w:r w:rsidR="00FA06D2">
        <w:rPr>
          <w:rFonts w:ascii="Arial" w:eastAsia="Arial" w:hAnsi="Arial" w:cs="Arial"/>
          <w:b/>
          <w:bCs/>
          <w:color w:val="231F20"/>
          <w:sz w:val="24"/>
          <w:szCs w:val="24"/>
        </w:rPr>
        <w:t xml:space="preserve"> </w:t>
      </w:r>
    </w:p>
    <w:p w:rsidR="00220696" w:rsidRPr="00C649CA" w:rsidRDefault="00FA06D2" w:rsidP="00220696">
      <w:pPr>
        <w:spacing w:before="61" w:after="0" w:line="240" w:lineRule="auto"/>
        <w:ind w:right="-20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color w:val="231F20"/>
          <w:sz w:val="24"/>
          <w:szCs w:val="24"/>
        </w:rPr>
        <w:t>Status: score</w:t>
      </w:r>
      <w:r w:rsidR="00912398">
        <w:rPr>
          <w:rFonts w:ascii="Arial" w:eastAsia="Arial" w:hAnsi="Arial" w:cs="Arial"/>
          <w:b/>
          <w:bCs/>
          <w:color w:val="231F20"/>
          <w:sz w:val="24"/>
          <w:szCs w:val="24"/>
        </w:rPr>
        <w:t xml:space="preserve"> 0 if </w:t>
      </w:r>
      <w:r w:rsidR="00912398" w:rsidRPr="00912398">
        <w:rPr>
          <w:rFonts w:ascii="Arial" w:eastAsia="Arial" w:hAnsi="Arial" w:cs="Arial"/>
          <w:b/>
          <w:bCs/>
          <w:color w:val="231F20"/>
          <w:sz w:val="24"/>
          <w:szCs w:val="24"/>
          <w:u w:val="single"/>
        </w:rPr>
        <w:t>not in place</w:t>
      </w:r>
      <w:r w:rsidR="00912398">
        <w:rPr>
          <w:rFonts w:ascii="Arial" w:eastAsia="Arial" w:hAnsi="Arial" w:cs="Arial"/>
          <w:b/>
          <w:bCs/>
          <w:color w:val="231F20"/>
          <w:sz w:val="24"/>
          <w:szCs w:val="24"/>
        </w:rPr>
        <w:t xml:space="preserve">, 1 if </w:t>
      </w:r>
      <w:r w:rsidR="00912398" w:rsidRPr="00912398">
        <w:rPr>
          <w:rFonts w:ascii="Arial" w:eastAsia="Arial" w:hAnsi="Arial" w:cs="Arial"/>
          <w:b/>
          <w:bCs/>
          <w:color w:val="231F20"/>
          <w:sz w:val="24"/>
          <w:szCs w:val="24"/>
          <w:u w:val="single"/>
        </w:rPr>
        <w:t>partially in place</w:t>
      </w:r>
      <w:r w:rsidR="00912398">
        <w:rPr>
          <w:rFonts w:ascii="Arial" w:eastAsia="Arial" w:hAnsi="Arial" w:cs="Arial"/>
          <w:b/>
          <w:bCs/>
          <w:color w:val="231F20"/>
          <w:sz w:val="24"/>
          <w:szCs w:val="24"/>
        </w:rPr>
        <w:t xml:space="preserve">, 2 if </w:t>
      </w:r>
      <w:r w:rsidR="00912398" w:rsidRPr="00912398">
        <w:rPr>
          <w:rFonts w:ascii="Arial" w:eastAsia="Arial" w:hAnsi="Arial" w:cs="Arial"/>
          <w:b/>
          <w:bCs/>
          <w:color w:val="231F20"/>
          <w:sz w:val="24"/>
          <w:szCs w:val="24"/>
          <w:u w:val="single"/>
        </w:rPr>
        <w:t>fully in place</w:t>
      </w:r>
    </w:p>
    <w:p w:rsidR="00220696" w:rsidRPr="00C649CA" w:rsidRDefault="00220696" w:rsidP="00220696">
      <w:pPr>
        <w:spacing w:after="0" w:line="240" w:lineRule="auto"/>
        <w:ind w:right="-20"/>
        <w:jc w:val="center"/>
        <w:rPr>
          <w:sz w:val="11"/>
          <w:szCs w:val="11"/>
        </w:rPr>
      </w:pPr>
    </w:p>
    <w:p w:rsidR="00220696" w:rsidRPr="00C649CA" w:rsidRDefault="00220696" w:rsidP="00220696">
      <w:pPr>
        <w:spacing w:after="0" w:line="240" w:lineRule="auto"/>
        <w:ind w:right="-20"/>
        <w:jc w:val="center"/>
        <w:rPr>
          <w:sz w:val="20"/>
          <w:szCs w:val="20"/>
        </w:rPr>
      </w:pPr>
    </w:p>
    <w:tbl>
      <w:tblPr>
        <w:tblW w:w="1341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00"/>
        <w:gridCol w:w="10260"/>
        <w:gridCol w:w="1350"/>
      </w:tblGrid>
      <w:tr w:rsidR="0095474C" w:rsidRPr="006C66F2" w:rsidTr="006A4B41">
        <w:trPr>
          <w:trHeight w:hRule="exact" w:val="460"/>
          <w:jc w:val="center"/>
        </w:trPr>
        <w:tc>
          <w:tcPr>
            <w:tcW w:w="180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231F20"/>
            <w:vAlign w:val="center"/>
          </w:tcPr>
          <w:p w:rsidR="0095474C" w:rsidRPr="006C66F2" w:rsidRDefault="0095474C" w:rsidP="00F701CE">
            <w:pPr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6C66F2">
              <w:rPr>
                <w:rFonts w:ascii="Arial" w:eastAsia="Arial" w:hAnsi="Arial" w:cs="Arial"/>
                <w:color w:val="FFFFFF"/>
                <w:sz w:val="24"/>
                <w:szCs w:val="24"/>
              </w:rPr>
              <w:t>Feature</w:t>
            </w:r>
          </w:p>
        </w:tc>
        <w:tc>
          <w:tcPr>
            <w:tcW w:w="102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231F20"/>
            <w:vAlign w:val="center"/>
          </w:tcPr>
          <w:p w:rsidR="0095474C" w:rsidRPr="006C66F2" w:rsidRDefault="0095474C" w:rsidP="00F701CE">
            <w:pPr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FFFFFF"/>
                <w:sz w:val="24"/>
                <w:szCs w:val="24"/>
              </w:rPr>
              <w:t>Critical Items</w:t>
            </w:r>
          </w:p>
        </w:tc>
        <w:tc>
          <w:tcPr>
            <w:tcW w:w="135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231F20"/>
          </w:tcPr>
          <w:p w:rsidR="0095474C" w:rsidRDefault="00912398" w:rsidP="00F701CE">
            <w:pPr>
              <w:spacing w:after="0" w:line="240" w:lineRule="auto"/>
              <w:jc w:val="center"/>
              <w:rPr>
                <w:rFonts w:ascii="Arial" w:eastAsia="Arial" w:hAnsi="Arial" w:cs="Arial"/>
                <w:color w:val="FFFFFF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FFFFFF"/>
                <w:sz w:val="24"/>
                <w:szCs w:val="24"/>
              </w:rPr>
              <w:t>S</w:t>
            </w:r>
            <w:r w:rsidR="00FA06D2">
              <w:rPr>
                <w:rFonts w:ascii="Arial" w:eastAsia="Arial" w:hAnsi="Arial" w:cs="Arial"/>
                <w:color w:val="FFFFFF"/>
                <w:sz w:val="24"/>
                <w:szCs w:val="24"/>
              </w:rPr>
              <w:t>tatus</w:t>
            </w:r>
          </w:p>
        </w:tc>
      </w:tr>
      <w:tr w:rsidR="005411DF" w:rsidRPr="006C66F2" w:rsidTr="006A4B41">
        <w:trPr>
          <w:trHeight w:val="1268"/>
          <w:jc w:val="center"/>
        </w:trPr>
        <w:tc>
          <w:tcPr>
            <w:tcW w:w="1800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5411DF" w:rsidRPr="006C66F2" w:rsidRDefault="005411DF" w:rsidP="007D2032">
            <w:pPr>
              <w:spacing w:after="0" w:line="240" w:lineRule="auto"/>
              <w:ind w:right="-20"/>
              <w:rPr>
                <w:rFonts w:ascii="Minion Pro" w:eastAsia="Minion Pro" w:hAnsi="Minion Pro" w:cs="Minion Pro"/>
                <w:sz w:val="24"/>
                <w:szCs w:val="24"/>
              </w:rPr>
            </w:pPr>
            <w:r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 xml:space="preserve"> </w:t>
            </w:r>
            <w:r w:rsidRPr="006C66F2"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>Team</w:t>
            </w:r>
            <w:r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 xml:space="preserve"> </w:t>
            </w:r>
          </w:p>
        </w:tc>
        <w:tc>
          <w:tcPr>
            <w:tcW w:w="10260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5411DF" w:rsidRPr="006C66F2" w:rsidRDefault="005411DF" w:rsidP="005411D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right="-20"/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</w:pPr>
            <w:r w:rsidRPr="006C66F2"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>Tier II</w:t>
            </w:r>
            <w:r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 xml:space="preserve"> Team in place, </w:t>
            </w:r>
            <w:r w:rsidRPr="006C66F2"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>with roles identified</w:t>
            </w:r>
          </w:p>
          <w:p w:rsidR="005411DF" w:rsidRPr="006C66F2" w:rsidRDefault="005411DF" w:rsidP="005411D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right="-20"/>
              <w:rPr>
                <w:rFonts w:ascii="Minion Pro" w:eastAsia="Minion Pro" w:hAnsi="Minion Pro" w:cs="Minion Pro"/>
                <w:sz w:val="24"/>
                <w:szCs w:val="24"/>
              </w:rPr>
            </w:pPr>
            <w:r w:rsidRPr="006C66F2"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>Standard Agenda Format</w:t>
            </w:r>
          </w:p>
          <w:p w:rsidR="005411DF" w:rsidRPr="001066AD" w:rsidRDefault="005411DF" w:rsidP="005411D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right="-20"/>
              <w:rPr>
                <w:rFonts w:ascii="Minion Pro" w:eastAsia="Minion Pro" w:hAnsi="Minion Pro" w:cs="Minion Pro"/>
                <w:sz w:val="24"/>
                <w:szCs w:val="24"/>
              </w:rPr>
            </w:pPr>
            <w:r w:rsidRPr="006C66F2"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>Meeting Minutes</w:t>
            </w:r>
            <w:r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 xml:space="preserve"> taken and distributed</w:t>
            </w:r>
          </w:p>
          <w:p w:rsidR="005411DF" w:rsidRPr="005411DF" w:rsidRDefault="005411DF" w:rsidP="005411D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right="-20"/>
              <w:rPr>
                <w:rFonts w:ascii="Minion Pro" w:eastAsia="Minion Pro" w:hAnsi="Minion Pro" w:cs="Minion Pro"/>
                <w:sz w:val="24"/>
                <w:szCs w:val="24"/>
              </w:rPr>
            </w:pPr>
            <w:r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>Current Tier II Action Plan</w:t>
            </w:r>
          </w:p>
        </w:tc>
        <w:tc>
          <w:tcPr>
            <w:tcW w:w="1350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5411DF" w:rsidRDefault="005411DF" w:rsidP="00912398">
            <w:pPr>
              <w:spacing w:after="0" w:line="240" w:lineRule="auto"/>
              <w:ind w:right="-20"/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</w:pPr>
            <w:r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>1.</w:t>
            </w:r>
          </w:p>
          <w:p w:rsidR="005411DF" w:rsidRDefault="005411DF" w:rsidP="00912398">
            <w:pPr>
              <w:spacing w:after="0" w:line="240" w:lineRule="auto"/>
              <w:ind w:right="-20"/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</w:pPr>
            <w:r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>2.</w:t>
            </w:r>
          </w:p>
          <w:p w:rsidR="005411DF" w:rsidRDefault="005411DF" w:rsidP="00912398">
            <w:pPr>
              <w:spacing w:after="0" w:line="240" w:lineRule="auto"/>
              <w:ind w:right="-20"/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</w:pPr>
            <w:r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>3.</w:t>
            </w:r>
          </w:p>
          <w:p w:rsidR="005411DF" w:rsidRPr="00912398" w:rsidRDefault="005411DF" w:rsidP="00912398">
            <w:pPr>
              <w:spacing w:after="0" w:line="240" w:lineRule="auto"/>
              <w:ind w:right="-20"/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</w:pPr>
            <w:r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 xml:space="preserve">4. </w:t>
            </w:r>
          </w:p>
        </w:tc>
      </w:tr>
      <w:tr w:rsidR="005411DF" w:rsidRPr="006C66F2" w:rsidTr="006A4B41">
        <w:trPr>
          <w:trHeight w:val="1500"/>
          <w:jc w:val="center"/>
        </w:trPr>
        <w:tc>
          <w:tcPr>
            <w:tcW w:w="1800" w:type="dxa"/>
            <w:tcBorders>
              <w:top w:val="single" w:sz="12" w:space="0" w:color="231F20"/>
              <w:left w:val="single" w:sz="4" w:space="0" w:color="231F20"/>
              <w:right w:val="single" w:sz="4" w:space="0" w:color="231F20"/>
            </w:tcBorders>
          </w:tcPr>
          <w:p w:rsidR="005411DF" w:rsidRPr="006C66F2" w:rsidRDefault="005411DF" w:rsidP="006C66F2">
            <w:pPr>
              <w:spacing w:after="0" w:line="240" w:lineRule="auto"/>
              <w:ind w:right="-20"/>
              <w:rPr>
                <w:rFonts w:ascii="Minion Pro" w:eastAsia="Minion Pro" w:hAnsi="Minion Pro" w:cs="Minion Pro"/>
                <w:sz w:val="24"/>
                <w:szCs w:val="24"/>
              </w:rPr>
            </w:pPr>
            <w:r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 xml:space="preserve"> Identification of Students</w:t>
            </w:r>
          </w:p>
        </w:tc>
        <w:tc>
          <w:tcPr>
            <w:tcW w:w="10260" w:type="dxa"/>
            <w:tcBorders>
              <w:top w:val="single" w:sz="12" w:space="0" w:color="231F20"/>
              <w:left w:val="single" w:sz="4" w:space="0" w:color="231F20"/>
              <w:right w:val="single" w:sz="4" w:space="0" w:color="231F20"/>
            </w:tcBorders>
          </w:tcPr>
          <w:p w:rsidR="005411DF" w:rsidRPr="006C66F2" w:rsidRDefault="005411DF" w:rsidP="005411DF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right="-20"/>
              <w:rPr>
                <w:rFonts w:ascii="Minion Pro" w:eastAsia="Minion Pro" w:hAnsi="Minion Pro" w:cs="Minion Pro"/>
                <w:sz w:val="24"/>
                <w:szCs w:val="24"/>
              </w:rPr>
            </w:pPr>
            <w:r w:rsidRPr="006C66F2"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>Data Decision Rules (using multiple sources of data)</w:t>
            </w:r>
          </w:p>
          <w:p w:rsidR="005411DF" w:rsidRPr="001066AD" w:rsidRDefault="005411DF" w:rsidP="005411DF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right="-20"/>
              <w:rPr>
                <w:rFonts w:ascii="Minion Pro" w:eastAsia="Minion Pro" w:hAnsi="Minion Pro" w:cs="Minion Pro"/>
                <w:sz w:val="24"/>
                <w:szCs w:val="24"/>
              </w:rPr>
            </w:pPr>
            <w:r w:rsidRPr="006C66F2"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>Standardized Social/Behavioral Screening Instrument (optional)</w:t>
            </w:r>
          </w:p>
          <w:p w:rsidR="005411DF" w:rsidRDefault="005411DF" w:rsidP="005411DF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right="916"/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</w:pPr>
            <w:r w:rsidRPr="006C66F2"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 xml:space="preserve">Request for Assistance Form </w:t>
            </w:r>
          </w:p>
          <w:p w:rsidR="005411DF" w:rsidRPr="001066AD" w:rsidRDefault="005411DF" w:rsidP="005411DF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right="-20"/>
              <w:rPr>
                <w:rFonts w:ascii="Minion Pro" w:eastAsia="Minion Pro" w:hAnsi="Minion Pro" w:cs="Minion Pro"/>
                <w:sz w:val="24"/>
                <w:szCs w:val="24"/>
              </w:rPr>
            </w:pPr>
            <w:r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>Standard process for nominating students for Tier II known by and available to all staff, parents, students</w:t>
            </w:r>
          </w:p>
        </w:tc>
        <w:tc>
          <w:tcPr>
            <w:tcW w:w="1350" w:type="dxa"/>
            <w:tcBorders>
              <w:top w:val="single" w:sz="12" w:space="0" w:color="231F20"/>
              <w:left w:val="single" w:sz="4" w:space="0" w:color="231F20"/>
              <w:right w:val="single" w:sz="4" w:space="0" w:color="231F20"/>
            </w:tcBorders>
          </w:tcPr>
          <w:p w:rsidR="005411DF" w:rsidRDefault="006A4B41" w:rsidP="00912398">
            <w:pPr>
              <w:spacing w:after="0" w:line="240" w:lineRule="auto"/>
              <w:ind w:right="-20"/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</w:pPr>
            <w:r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>1.</w:t>
            </w:r>
          </w:p>
          <w:p w:rsidR="006A4B41" w:rsidRDefault="006A4B41" w:rsidP="00912398">
            <w:pPr>
              <w:spacing w:after="0" w:line="240" w:lineRule="auto"/>
              <w:ind w:right="-20"/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</w:pPr>
            <w:r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>2.</w:t>
            </w:r>
          </w:p>
          <w:p w:rsidR="006A4B41" w:rsidRDefault="006A4B41" w:rsidP="00912398">
            <w:pPr>
              <w:spacing w:after="0" w:line="240" w:lineRule="auto"/>
              <w:ind w:right="-20"/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</w:pPr>
            <w:r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>3.</w:t>
            </w:r>
          </w:p>
          <w:p w:rsidR="006A4B41" w:rsidRDefault="006A4B41" w:rsidP="00912398">
            <w:pPr>
              <w:spacing w:after="0" w:line="240" w:lineRule="auto"/>
              <w:ind w:right="-20"/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</w:pPr>
            <w:r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>4.</w:t>
            </w:r>
          </w:p>
          <w:p w:rsidR="006A4B41" w:rsidRPr="00912398" w:rsidRDefault="006A4B41" w:rsidP="00912398">
            <w:pPr>
              <w:spacing w:after="0" w:line="240" w:lineRule="auto"/>
              <w:ind w:right="-20"/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</w:pPr>
          </w:p>
        </w:tc>
      </w:tr>
      <w:tr w:rsidR="005411DF" w:rsidRPr="006C66F2" w:rsidTr="006A4B41">
        <w:trPr>
          <w:trHeight w:val="1268"/>
          <w:jc w:val="center"/>
        </w:trPr>
        <w:tc>
          <w:tcPr>
            <w:tcW w:w="1800" w:type="dxa"/>
            <w:tcBorders>
              <w:top w:val="single" w:sz="12" w:space="0" w:color="231F20"/>
              <w:left w:val="single" w:sz="4" w:space="0" w:color="231F20"/>
              <w:right w:val="single" w:sz="4" w:space="0" w:color="231F20"/>
            </w:tcBorders>
          </w:tcPr>
          <w:p w:rsidR="005411DF" w:rsidRDefault="005411DF" w:rsidP="007D2032">
            <w:pPr>
              <w:spacing w:after="0" w:line="240" w:lineRule="auto"/>
              <w:ind w:right="-20"/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</w:pPr>
            <w:r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 xml:space="preserve"> Interventions</w:t>
            </w:r>
          </w:p>
        </w:tc>
        <w:tc>
          <w:tcPr>
            <w:tcW w:w="10260" w:type="dxa"/>
            <w:tcBorders>
              <w:top w:val="single" w:sz="12" w:space="0" w:color="231F20"/>
              <w:left w:val="single" w:sz="4" w:space="0" w:color="231F20"/>
              <w:right w:val="single" w:sz="4" w:space="0" w:color="231F20"/>
            </w:tcBorders>
          </w:tcPr>
          <w:p w:rsidR="005411DF" w:rsidRDefault="005411DF" w:rsidP="005411DF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right="916"/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</w:pPr>
            <w:r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>Multiple evidence-based interventions continuously available to students</w:t>
            </w:r>
          </w:p>
          <w:p w:rsidR="005411DF" w:rsidRDefault="005411DF" w:rsidP="005411DF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right="916"/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</w:pPr>
            <w:r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>Method for matching student need to intervention (motivation/function of behavior)</w:t>
            </w:r>
          </w:p>
          <w:p w:rsidR="005411DF" w:rsidRPr="00862C32" w:rsidRDefault="005411DF" w:rsidP="005411DF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right="916"/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</w:pPr>
            <w:r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 xml:space="preserve">Interventions provide </w:t>
            </w:r>
            <w:r w:rsidRPr="00862C32"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>additional instruction/time for student skill development</w:t>
            </w:r>
            <w:r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 xml:space="preserve">, </w:t>
            </w:r>
            <w:r w:rsidRPr="00862C32"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>additional structure and predictability</w:t>
            </w:r>
            <w:r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>, and/or</w:t>
            </w:r>
            <w:r w:rsidRPr="00862C32"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 xml:space="preserve"> increased opportunity for feedback</w:t>
            </w:r>
            <w:r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>.</w:t>
            </w:r>
          </w:p>
        </w:tc>
        <w:tc>
          <w:tcPr>
            <w:tcW w:w="1350" w:type="dxa"/>
            <w:tcBorders>
              <w:top w:val="single" w:sz="12" w:space="0" w:color="231F20"/>
              <w:left w:val="single" w:sz="4" w:space="0" w:color="231F20"/>
              <w:right w:val="single" w:sz="4" w:space="0" w:color="231F20"/>
            </w:tcBorders>
          </w:tcPr>
          <w:p w:rsidR="005411DF" w:rsidRDefault="006A4B41" w:rsidP="006A4B41">
            <w:pPr>
              <w:spacing w:after="0" w:line="240" w:lineRule="auto"/>
              <w:ind w:right="916"/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</w:pPr>
            <w:r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>1.</w:t>
            </w:r>
          </w:p>
          <w:p w:rsidR="006A4B41" w:rsidRDefault="006A4B41" w:rsidP="006A4B41">
            <w:pPr>
              <w:spacing w:after="0" w:line="240" w:lineRule="auto"/>
              <w:ind w:right="916"/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</w:pPr>
            <w:r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>2.</w:t>
            </w:r>
          </w:p>
          <w:p w:rsidR="006A4B41" w:rsidRPr="006A4B41" w:rsidRDefault="006A4B41" w:rsidP="006A4B41">
            <w:pPr>
              <w:spacing w:after="0" w:line="240" w:lineRule="auto"/>
              <w:ind w:right="916"/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</w:pPr>
            <w:r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>3.</w:t>
            </w:r>
          </w:p>
        </w:tc>
      </w:tr>
      <w:tr w:rsidR="005411DF" w:rsidRPr="006C66F2" w:rsidTr="006A4B41">
        <w:trPr>
          <w:trHeight w:val="681"/>
          <w:jc w:val="center"/>
        </w:trPr>
        <w:tc>
          <w:tcPr>
            <w:tcW w:w="1800" w:type="dxa"/>
            <w:tcBorders>
              <w:top w:val="single" w:sz="12" w:space="0" w:color="231F20"/>
              <w:left w:val="single" w:sz="4" w:space="0" w:color="231F20"/>
              <w:right w:val="single" w:sz="4" w:space="0" w:color="231F20"/>
            </w:tcBorders>
          </w:tcPr>
          <w:p w:rsidR="005411DF" w:rsidRPr="006C66F2" w:rsidRDefault="005411DF" w:rsidP="00F701CE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</w:pPr>
            <w:r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>Access to Tier I</w:t>
            </w:r>
          </w:p>
        </w:tc>
        <w:tc>
          <w:tcPr>
            <w:tcW w:w="10260" w:type="dxa"/>
            <w:tcBorders>
              <w:top w:val="single" w:sz="12" w:space="0" w:color="231F20"/>
              <w:left w:val="single" w:sz="4" w:space="0" w:color="231F20"/>
              <w:right w:val="single" w:sz="4" w:space="0" w:color="231F20"/>
            </w:tcBorders>
          </w:tcPr>
          <w:p w:rsidR="005411DF" w:rsidRDefault="005411DF" w:rsidP="005411DF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right="202"/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</w:pPr>
            <w:r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>Interventions are linked to Tier I supports (expectations, teaching, acknowledgements, etc.)</w:t>
            </w:r>
          </w:p>
          <w:p w:rsidR="005411DF" w:rsidRPr="0070441B" w:rsidRDefault="005411DF" w:rsidP="005411DF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right="202"/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</w:pPr>
            <w:r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>Students receiving Tier II supports continue to receive Tier I supports</w:t>
            </w:r>
          </w:p>
        </w:tc>
        <w:tc>
          <w:tcPr>
            <w:tcW w:w="1350" w:type="dxa"/>
            <w:tcBorders>
              <w:top w:val="single" w:sz="12" w:space="0" w:color="231F20"/>
              <w:left w:val="single" w:sz="4" w:space="0" w:color="231F20"/>
              <w:right w:val="single" w:sz="4" w:space="0" w:color="231F20"/>
            </w:tcBorders>
          </w:tcPr>
          <w:p w:rsidR="005411DF" w:rsidRDefault="006A4B41" w:rsidP="00912398">
            <w:pPr>
              <w:spacing w:after="0" w:line="240" w:lineRule="auto"/>
              <w:ind w:right="202"/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</w:pPr>
            <w:r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>1.</w:t>
            </w:r>
          </w:p>
          <w:p w:rsidR="006A4B41" w:rsidRPr="00912398" w:rsidRDefault="006A4B41" w:rsidP="00912398">
            <w:pPr>
              <w:spacing w:after="0" w:line="240" w:lineRule="auto"/>
              <w:ind w:right="202"/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</w:pPr>
            <w:r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>2.</w:t>
            </w:r>
          </w:p>
        </w:tc>
      </w:tr>
      <w:tr w:rsidR="005411DF" w:rsidRPr="006C66F2" w:rsidTr="006A4B41">
        <w:trPr>
          <w:trHeight w:val="1545"/>
          <w:jc w:val="center"/>
        </w:trPr>
        <w:tc>
          <w:tcPr>
            <w:tcW w:w="1800" w:type="dxa"/>
            <w:tcBorders>
              <w:top w:val="single" w:sz="12" w:space="0" w:color="231F20"/>
              <w:left w:val="single" w:sz="4" w:space="0" w:color="231F20"/>
              <w:right w:val="single" w:sz="4" w:space="0" w:color="231F20"/>
            </w:tcBorders>
          </w:tcPr>
          <w:p w:rsidR="005411DF" w:rsidRPr="006C66F2" w:rsidRDefault="005411DF" w:rsidP="00F701CE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</w:pPr>
            <w:r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>Training and Communication</w:t>
            </w:r>
          </w:p>
        </w:tc>
        <w:tc>
          <w:tcPr>
            <w:tcW w:w="10260" w:type="dxa"/>
            <w:tcBorders>
              <w:top w:val="single" w:sz="12" w:space="0" w:color="231F20"/>
              <w:left w:val="single" w:sz="4" w:space="0" w:color="231F20"/>
              <w:right w:val="single" w:sz="4" w:space="0" w:color="231F20"/>
            </w:tcBorders>
          </w:tcPr>
          <w:p w:rsidR="005411DF" w:rsidRDefault="005411DF" w:rsidP="005411DF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right="202"/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</w:pPr>
            <w:r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>Team provides faculty-wide orientation for interventions, plus support for subs/volunteers</w:t>
            </w:r>
          </w:p>
          <w:p w:rsidR="005411DF" w:rsidRDefault="005411DF" w:rsidP="005411DF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right="202"/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</w:pPr>
            <w:r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>Written process for teaching/coaching all relevant staff in all aspects of intervention delivery</w:t>
            </w:r>
          </w:p>
          <w:p w:rsidR="005411DF" w:rsidRDefault="005411DF" w:rsidP="005411DF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right="202"/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</w:pPr>
            <w:r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>Documented process for giving/receiving feedback to/from staff</w:t>
            </w:r>
          </w:p>
          <w:p w:rsidR="005411DF" w:rsidRPr="001066AD" w:rsidRDefault="005411DF" w:rsidP="005411DF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right="202"/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</w:pPr>
            <w:r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>Data are shared with stakeholders to show overall outcomes of Tier II (NOT individual students)</w:t>
            </w:r>
          </w:p>
        </w:tc>
        <w:tc>
          <w:tcPr>
            <w:tcW w:w="1350" w:type="dxa"/>
            <w:tcBorders>
              <w:top w:val="single" w:sz="12" w:space="0" w:color="231F20"/>
              <w:left w:val="single" w:sz="4" w:space="0" w:color="231F20"/>
              <w:right w:val="single" w:sz="4" w:space="0" w:color="231F20"/>
            </w:tcBorders>
          </w:tcPr>
          <w:p w:rsidR="005411DF" w:rsidRDefault="006A4B41" w:rsidP="006A4B41">
            <w:pPr>
              <w:spacing w:after="0" w:line="240" w:lineRule="auto"/>
              <w:ind w:right="202"/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</w:pPr>
            <w:r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>1.</w:t>
            </w:r>
          </w:p>
          <w:p w:rsidR="006A4B41" w:rsidRDefault="006A4B41" w:rsidP="006A4B41">
            <w:pPr>
              <w:spacing w:after="0" w:line="240" w:lineRule="auto"/>
              <w:ind w:right="202"/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</w:pPr>
            <w:r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>2.</w:t>
            </w:r>
          </w:p>
          <w:p w:rsidR="006A4B41" w:rsidRDefault="006A4B41" w:rsidP="006A4B41">
            <w:pPr>
              <w:spacing w:after="0" w:line="240" w:lineRule="auto"/>
              <w:ind w:right="202"/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</w:pPr>
            <w:r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>3.</w:t>
            </w:r>
          </w:p>
          <w:p w:rsidR="006A4B41" w:rsidRDefault="006A4B41" w:rsidP="006A4B41">
            <w:pPr>
              <w:spacing w:after="0" w:line="240" w:lineRule="auto"/>
              <w:ind w:right="202"/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</w:pPr>
            <w:r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>4.</w:t>
            </w:r>
          </w:p>
          <w:p w:rsidR="006A4B41" w:rsidRPr="006A4B41" w:rsidRDefault="006A4B41" w:rsidP="006A4B41">
            <w:pPr>
              <w:spacing w:after="0" w:line="240" w:lineRule="auto"/>
              <w:ind w:right="202"/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</w:pPr>
          </w:p>
        </w:tc>
      </w:tr>
      <w:tr w:rsidR="005411DF" w:rsidRPr="006C66F2" w:rsidTr="006A4B41">
        <w:trPr>
          <w:trHeight w:val="1815"/>
          <w:jc w:val="center"/>
        </w:trPr>
        <w:tc>
          <w:tcPr>
            <w:tcW w:w="1800" w:type="dxa"/>
            <w:tcBorders>
              <w:top w:val="single" w:sz="12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5411DF" w:rsidRDefault="005411DF" w:rsidP="00F701CE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</w:pPr>
            <w:r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>Progress Monitoring</w:t>
            </w:r>
          </w:p>
        </w:tc>
        <w:tc>
          <w:tcPr>
            <w:tcW w:w="10260" w:type="dxa"/>
            <w:tcBorders>
              <w:top w:val="single" w:sz="12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5411DF" w:rsidRDefault="005411DF" w:rsidP="005411DF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ind w:right="202"/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</w:pPr>
            <w:r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>Level of use is monitored (goal is 5-15% of students are receiving Tier II interventions)</w:t>
            </w:r>
          </w:p>
          <w:p w:rsidR="005411DF" w:rsidRDefault="005411DF" w:rsidP="005411DF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ind w:right="202"/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</w:pPr>
            <w:r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>Data are used to determine % of students having success with Tier II interventions</w:t>
            </w:r>
          </w:p>
          <w:p w:rsidR="005411DF" w:rsidRDefault="005411DF" w:rsidP="005411DF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ind w:right="202"/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</w:pPr>
            <w:r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>Data are used to determine individual student outcomes and make decisions</w:t>
            </w:r>
          </w:p>
          <w:p w:rsidR="005411DF" w:rsidRDefault="005411DF" w:rsidP="005411DF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ind w:right="202"/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</w:pPr>
            <w:r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>Tier II fidelity checks are done periodically</w:t>
            </w:r>
          </w:p>
          <w:p w:rsidR="005411DF" w:rsidRDefault="005411DF" w:rsidP="005411DF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ind w:right="202"/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</w:pPr>
            <w:r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>Annual evaluation is done on Tier II systems to determine efficiency and effectiveness</w:t>
            </w:r>
          </w:p>
          <w:p w:rsidR="005411DF" w:rsidRDefault="005411DF" w:rsidP="005411DF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ind w:right="202"/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</w:pPr>
            <w:r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>Annual evaluation and action plan are shared with staff and district leadership</w:t>
            </w:r>
          </w:p>
        </w:tc>
        <w:tc>
          <w:tcPr>
            <w:tcW w:w="1350" w:type="dxa"/>
            <w:tcBorders>
              <w:top w:val="single" w:sz="12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5411DF" w:rsidRDefault="006A4B41" w:rsidP="00912398">
            <w:pPr>
              <w:spacing w:after="0" w:line="240" w:lineRule="auto"/>
              <w:ind w:right="202"/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</w:pPr>
            <w:r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>1.</w:t>
            </w:r>
          </w:p>
          <w:p w:rsidR="006A4B41" w:rsidRDefault="006A4B41" w:rsidP="00912398">
            <w:pPr>
              <w:spacing w:after="0" w:line="240" w:lineRule="auto"/>
              <w:ind w:right="202"/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</w:pPr>
            <w:r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>2.</w:t>
            </w:r>
          </w:p>
          <w:p w:rsidR="006A4B41" w:rsidRDefault="006A4B41" w:rsidP="00912398">
            <w:pPr>
              <w:spacing w:after="0" w:line="240" w:lineRule="auto"/>
              <w:ind w:right="202"/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</w:pPr>
            <w:r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>3.</w:t>
            </w:r>
          </w:p>
          <w:p w:rsidR="006A4B41" w:rsidRDefault="006A4B41" w:rsidP="00912398">
            <w:pPr>
              <w:spacing w:after="0" w:line="240" w:lineRule="auto"/>
              <w:ind w:right="202"/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</w:pPr>
            <w:r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>4.</w:t>
            </w:r>
          </w:p>
          <w:p w:rsidR="006A4B41" w:rsidRDefault="006A4B41" w:rsidP="00912398">
            <w:pPr>
              <w:spacing w:after="0" w:line="240" w:lineRule="auto"/>
              <w:ind w:right="202"/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</w:pPr>
            <w:r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>5.</w:t>
            </w:r>
          </w:p>
          <w:p w:rsidR="006A4B41" w:rsidRPr="00912398" w:rsidRDefault="006A4B41" w:rsidP="00912398">
            <w:pPr>
              <w:spacing w:after="0" w:line="240" w:lineRule="auto"/>
              <w:ind w:right="202"/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</w:pPr>
            <w:r>
              <w:rPr>
                <w:rFonts w:ascii="Minion Pro" w:eastAsia="Minion Pro" w:hAnsi="Minion Pro" w:cs="Minion Pro"/>
                <w:color w:val="231F20"/>
                <w:sz w:val="24"/>
                <w:szCs w:val="24"/>
              </w:rPr>
              <w:t>6.</w:t>
            </w:r>
          </w:p>
        </w:tc>
      </w:tr>
    </w:tbl>
    <w:p w:rsidR="00CA4B76" w:rsidRPr="00220696" w:rsidRDefault="00CA4B76" w:rsidP="00912398">
      <w:pPr>
        <w:rPr>
          <w:sz w:val="20"/>
          <w:szCs w:val="20"/>
        </w:rPr>
      </w:pPr>
      <w:bookmarkStart w:id="0" w:name="_GoBack"/>
      <w:bookmarkEnd w:id="0"/>
    </w:p>
    <w:sectPr w:rsidR="00CA4B76" w:rsidRPr="00220696" w:rsidSect="00315FBE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7C45" w:rsidRDefault="00737C45" w:rsidP="00220696">
      <w:pPr>
        <w:spacing w:after="0" w:line="240" w:lineRule="auto"/>
      </w:pPr>
      <w:r>
        <w:separator/>
      </w:r>
    </w:p>
  </w:endnote>
  <w:endnote w:type="continuationSeparator" w:id="0">
    <w:p w:rsidR="00737C45" w:rsidRDefault="00737C45" w:rsidP="002206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7C45" w:rsidRDefault="00737C45" w:rsidP="00220696">
      <w:pPr>
        <w:spacing w:after="0" w:line="240" w:lineRule="auto"/>
      </w:pPr>
      <w:r>
        <w:separator/>
      </w:r>
    </w:p>
  </w:footnote>
  <w:footnote w:type="continuationSeparator" w:id="0">
    <w:p w:rsidR="00737C45" w:rsidRDefault="00737C45" w:rsidP="002206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F3845"/>
    <w:multiLevelType w:val="hybridMultilevel"/>
    <w:tmpl w:val="7EFE3CE2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CE152E"/>
    <w:multiLevelType w:val="hybridMultilevel"/>
    <w:tmpl w:val="6018F5A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702EDC"/>
    <w:multiLevelType w:val="hybridMultilevel"/>
    <w:tmpl w:val="BE6006D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716A94"/>
    <w:multiLevelType w:val="hybridMultilevel"/>
    <w:tmpl w:val="F5CC392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BF6A5A"/>
    <w:multiLevelType w:val="hybridMultilevel"/>
    <w:tmpl w:val="7FDA64E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F446CD"/>
    <w:multiLevelType w:val="hybridMultilevel"/>
    <w:tmpl w:val="7C6EFBC8"/>
    <w:lvl w:ilvl="0" w:tplc="5C8243E8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6" w15:restartNumberingAfterBreak="0">
    <w:nsid w:val="134444C9"/>
    <w:multiLevelType w:val="hybridMultilevel"/>
    <w:tmpl w:val="AFB6806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A17027"/>
    <w:multiLevelType w:val="hybridMultilevel"/>
    <w:tmpl w:val="99F823EC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62424E7"/>
    <w:multiLevelType w:val="hybridMultilevel"/>
    <w:tmpl w:val="ED9299C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DCA7816"/>
    <w:multiLevelType w:val="hybridMultilevel"/>
    <w:tmpl w:val="641E5480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20266E2"/>
    <w:multiLevelType w:val="hybridMultilevel"/>
    <w:tmpl w:val="8004B538"/>
    <w:lvl w:ilvl="0" w:tplc="04090003">
      <w:start w:val="1"/>
      <w:numFmt w:val="bullet"/>
      <w:lvlText w:val="o"/>
      <w:lvlJc w:val="left"/>
      <w:pPr>
        <w:ind w:left="795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1" w15:restartNumberingAfterBreak="0">
    <w:nsid w:val="2D7A6C8E"/>
    <w:multiLevelType w:val="hybridMultilevel"/>
    <w:tmpl w:val="AF1C404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BD205B"/>
    <w:multiLevelType w:val="hybridMultilevel"/>
    <w:tmpl w:val="145AFF6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AF043B9"/>
    <w:multiLevelType w:val="hybridMultilevel"/>
    <w:tmpl w:val="93EC6130"/>
    <w:lvl w:ilvl="0" w:tplc="04090003">
      <w:start w:val="1"/>
      <w:numFmt w:val="bullet"/>
      <w:lvlText w:val="o"/>
      <w:lvlJc w:val="left"/>
      <w:pPr>
        <w:ind w:left="795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 w15:restartNumberingAfterBreak="0">
    <w:nsid w:val="41824D9B"/>
    <w:multiLevelType w:val="hybridMultilevel"/>
    <w:tmpl w:val="F14A3A0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61A1B4C"/>
    <w:multiLevelType w:val="hybridMultilevel"/>
    <w:tmpl w:val="BBAE80C6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67F033C"/>
    <w:multiLevelType w:val="hybridMultilevel"/>
    <w:tmpl w:val="78B429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CE2F1B"/>
    <w:multiLevelType w:val="hybridMultilevel"/>
    <w:tmpl w:val="C83421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4E09E8"/>
    <w:multiLevelType w:val="hybridMultilevel"/>
    <w:tmpl w:val="5352D98A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6"/>
  </w:num>
  <w:num w:numId="3">
    <w:abstractNumId w:val="5"/>
  </w:num>
  <w:num w:numId="4">
    <w:abstractNumId w:val="10"/>
  </w:num>
  <w:num w:numId="5">
    <w:abstractNumId w:val="11"/>
  </w:num>
  <w:num w:numId="6">
    <w:abstractNumId w:val="7"/>
  </w:num>
  <w:num w:numId="7">
    <w:abstractNumId w:val="6"/>
  </w:num>
  <w:num w:numId="8">
    <w:abstractNumId w:val="13"/>
  </w:num>
  <w:num w:numId="9">
    <w:abstractNumId w:val="1"/>
  </w:num>
  <w:num w:numId="10">
    <w:abstractNumId w:val="0"/>
  </w:num>
  <w:num w:numId="11">
    <w:abstractNumId w:val="18"/>
  </w:num>
  <w:num w:numId="12">
    <w:abstractNumId w:val="9"/>
  </w:num>
  <w:num w:numId="13">
    <w:abstractNumId w:val="15"/>
  </w:num>
  <w:num w:numId="14">
    <w:abstractNumId w:val="14"/>
  </w:num>
  <w:num w:numId="15">
    <w:abstractNumId w:val="12"/>
  </w:num>
  <w:num w:numId="16">
    <w:abstractNumId w:val="3"/>
  </w:num>
  <w:num w:numId="17">
    <w:abstractNumId w:val="4"/>
  </w:num>
  <w:num w:numId="18">
    <w:abstractNumId w:val="2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696"/>
    <w:rsid w:val="001066AD"/>
    <w:rsid w:val="001A782C"/>
    <w:rsid w:val="00220696"/>
    <w:rsid w:val="00315FBE"/>
    <w:rsid w:val="004952A4"/>
    <w:rsid w:val="005411DF"/>
    <w:rsid w:val="00655344"/>
    <w:rsid w:val="006A4B41"/>
    <w:rsid w:val="006C66F2"/>
    <w:rsid w:val="006F2B62"/>
    <w:rsid w:val="0070441B"/>
    <w:rsid w:val="00737C45"/>
    <w:rsid w:val="007D2032"/>
    <w:rsid w:val="00862C32"/>
    <w:rsid w:val="008B1C94"/>
    <w:rsid w:val="00912398"/>
    <w:rsid w:val="0095474C"/>
    <w:rsid w:val="00A53276"/>
    <w:rsid w:val="00AB6EDC"/>
    <w:rsid w:val="00AB75A4"/>
    <w:rsid w:val="00B50401"/>
    <w:rsid w:val="00CA4B76"/>
    <w:rsid w:val="00CF2429"/>
    <w:rsid w:val="00FA0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5476C0"/>
  <w15:chartTrackingRefBased/>
  <w15:docId w15:val="{20F7A702-078C-4426-921E-E1CA873CF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20696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069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206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0696"/>
  </w:style>
  <w:style w:type="paragraph" w:styleId="Footer">
    <w:name w:val="footer"/>
    <w:basedOn w:val="Normal"/>
    <w:link w:val="FooterChar"/>
    <w:uiPriority w:val="99"/>
    <w:unhideWhenUsed/>
    <w:rsid w:val="002206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06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</dc:creator>
  <cp:keywords/>
  <dc:description/>
  <cp:lastModifiedBy>Rebecca Hegger</cp:lastModifiedBy>
  <cp:revision>6</cp:revision>
  <dcterms:created xsi:type="dcterms:W3CDTF">2017-10-17T16:32:00Z</dcterms:created>
  <dcterms:modified xsi:type="dcterms:W3CDTF">2017-10-17T19:10:00Z</dcterms:modified>
</cp:coreProperties>
</file>